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847" w:rsidRPr="008A1FF4" w:rsidRDefault="008A1FF4">
      <w:pPr>
        <w:rPr>
          <w:b/>
        </w:rPr>
      </w:pPr>
      <w:r>
        <w:tab/>
      </w:r>
      <w:r>
        <w:tab/>
      </w:r>
      <w:r>
        <w:tab/>
      </w:r>
      <w:r>
        <w:tab/>
      </w:r>
      <w:r>
        <w:tab/>
      </w:r>
      <w:r>
        <w:tab/>
      </w:r>
      <w:r>
        <w:tab/>
      </w:r>
      <w:r>
        <w:tab/>
      </w:r>
      <w:r>
        <w:tab/>
      </w:r>
      <w:r>
        <w:tab/>
      </w:r>
      <w:r w:rsidRPr="008A1FF4">
        <w:rPr>
          <w:b/>
        </w:rPr>
        <w:t>Appendix A</w:t>
      </w:r>
    </w:p>
    <w:p w:rsidR="008C5DEB" w:rsidRDefault="008C5DEB"/>
    <w:tbl>
      <w:tblPr>
        <w:tblW w:w="10065" w:type="dxa"/>
        <w:tblInd w:w="-34" w:type="dxa"/>
        <w:tblLook w:val="04A0" w:firstRow="1" w:lastRow="0" w:firstColumn="1" w:lastColumn="0" w:noHBand="0" w:noVBand="1"/>
      </w:tblPr>
      <w:tblGrid>
        <w:gridCol w:w="5201"/>
        <w:gridCol w:w="1243"/>
        <w:gridCol w:w="3621"/>
      </w:tblGrid>
      <w:tr w:rsidR="00613D68" w:rsidRPr="00633BE5" w:rsidTr="00DD6847">
        <w:tc>
          <w:tcPr>
            <w:tcW w:w="5201" w:type="dxa"/>
            <w:vMerge w:val="restart"/>
          </w:tcPr>
          <w:p w:rsidR="00374C15" w:rsidRPr="00633BE5" w:rsidRDefault="00374C15" w:rsidP="00374C15">
            <w:pPr>
              <w:spacing w:after="0"/>
              <w:rPr>
                <w:rFonts w:cs="Arial"/>
                <w:szCs w:val="24"/>
              </w:rPr>
            </w:pPr>
            <w:r w:rsidRPr="00633BE5">
              <w:rPr>
                <w:rFonts w:cs="Arial"/>
                <w:szCs w:val="24"/>
              </w:rPr>
              <w:t>Karen Murray</w:t>
            </w:r>
          </w:p>
          <w:p w:rsidR="00374C15" w:rsidRPr="00633BE5" w:rsidRDefault="00374C15" w:rsidP="00374C15">
            <w:pPr>
              <w:spacing w:after="0"/>
              <w:rPr>
                <w:rFonts w:cs="Arial"/>
                <w:szCs w:val="24"/>
              </w:rPr>
            </w:pPr>
            <w:r w:rsidRPr="00633BE5">
              <w:rPr>
                <w:rFonts w:cs="Arial"/>
                <w:szCs w:val="24"/>
              </w:rPr>
              <w:t>Director</w:t>
            </w:r>
          </w:p>
          <w:p w:rsidR="00374C15" w:rsidRPr="00633BE5" w:rsidRDefault="00374C15" w:rsidP="00374C15">
            <w:pPr>
              <w:spacing w:after="0"/>
              <w:rPr>
                <w:rFonts w:cs="Arial"/>
                <w:szCs w:val="24"/>
              </w:rPr>
            </w:pPr>
            <w:r w:rsidRPr="00633BE5">
              <w:rPr>
                <w:rFonts w:cs="Arial"/>
                <w:szCs w:val="24"/>
              </w:rPr>
              <w:t>Grant Thornton UK LLP</w:t>
            </w:r>
            <w:r w:rsidRPr="00633BE5">
              <w:rPr>
                <w:rFonts w:cs="Arial"/>
                <w:szCs w:val="24"/>
              </w:rPr>
              <w:br/>
              <w:t>4 Hardman Square</w:t>
            </w:r>
          </w:p>
          <w:p w:rsidR="00374C15" w:rsidRPr="00633BE5" w:rsidRDefault="00374C15" w:rsidP="00374C15">
            <w:pPr>
              <w:spacing w:after="0"/>
              <w:rPr>
                <w:rFonts w:cs="Arial"/>
                <w:szCs w:val="24"/>
              </w:rPr>
            </w:pPr>
            <w:proofErr w:type="spellStart"/>
            <w:r w:rsidRPr="00633BE5">
              <w:rPr>
                <w:rFonts w:cs="Arial"/>
                <w:szCs w:val="24"/>
              </w:rPr>
              <w:t>Spinningfields</w:t>
            </w:r>
            <w:proofErr w:type="spellEnd"/>
            <w:r w:rsidRPr="00633BE5">
              <w:rPr>
                <w:rFonts w:cs="Arial"/>
                <w:szCs w:val="24"/>
              </w:rPr>
              <w:t xml:space="preserve"> </w:t>
            </w:r>
          </w:p>
          <w:p w:rsidR="00374C15" w:rsidRPr="00633BE5" w:rsidRDefault="00374C15" w:rsidP="00374C15">
            <w:pPr>
              <w:spacing w:after="0"/>
              <w:rPr>
                <w:rFonts w:cs="Arial"/>
                <w:szCs w:val="24"/>
              </w:rPr>
            </w:pPr>
            <w:r w:rsidRPr="00633BE5">
              <w:rPr>
                <w:rFonts w:cs="Arial"/>
                <w:szCs w:val="24"/>
              </w:rPr>
              <w:t>MANCHESTER, M3 3EB</w:t>
            </w:r>
          </w:p>
          <w:p w:rsidR="00374C15" w:rsidRPr="00633BE5" w:rsidRDefault="00374C15" w:rsidP="00374C15">
            <w:pPr>
              <w:rPr>
                <w:rFonts w:cs="Arial"/>
                <w:szCs w:val="24"/>
              </w:rPr>
            </w:pPr>
          </w:p>
          <w:p w:rsidR="00C87CCB" w:rsidRPr="00633BE5" w:rsidRDefault="00C87CCB" w:rsidP="00DD6847">
            <w:pPr>
              <w:spacing w:after="0" w:line="240" w:lineRule="auto"/>
              <w:rPr>
                <w:rFonts w:cs="Arial"/>
                <w:noProof/>
                <w:szCs w:val="24"/>
              </w:rPr>
            </w:pPr>
          </w:p>
        </w:tc>
        <w:tc>
          <w:tcPr>
            <w:tcW w:w="1243" w:type="dxa"/>
          </w:tcPr>
          <w:p w:rsidR="00613D68" w:rsidRPr="00633BE5" w:rsidRDefault="00613D68" w:rsidP="000268E5">
            <w:pPr>
              <w:spacing w:after="20"/>
              <w:rPr>
                <w:rFonts w:cs="Arial"/>
                <w:szCs w:val="24"/>
              </w:rPr>
            </w:pPr>
            <w:r w:rsidRPr="00633BE5">
              <w:rPr>
                <w:rFonts w:cs="Arial"/>
                <w:szCs w:val="24"/>
              </w:rPr>
              <w:t>Phone:</w:t>
            </w:r>
          </w:p>
        </w:tc>
        <w:tc>
          <w:tcPr>
            <w:tcW w:w="3621" w:type="dxa"/>
          </w:tcPr>
          <w:p w:rsidR="00613D68" w:rsidRPr="00633BE5" w:rsidRDefault="00C87CCB" w:rsidP="000268E5">
            <w:pPr>
              <w:spacing w:after="20"/>
              <w:rPr>
                <w:rFonts w:cs="Arial"/>
                <w:szCs w:val="24"/>
              </w:rPr>
            </w:pPr>
            <w:r w:rsidRPr="00633BE5">
              <w:rPr>
                <w:rFonts w:cs="Arial"/>
                <w:szCs w:val="24"/>
              </w:rPr>
              <w:t>01772 534701</w:t>
            </w:r>
          </w:p>
        </w:tc>
      </w:tr>
      <w:tr w:rsidR="00613D68" w:rsidRPr="00633BE5" w:rsidTr="00DD6847">
        <w:tc>
          <w:tcPr>
            <w:tcW w:w="5201" w:type="dxa"/>
            <w:vMerge/>
          </w:tcPr>
          <w:p w:rsidR="00613D68" w:rsidRPr="00633BE5" w:rsidRDefault="00613D68" w:rsidP="000268E5">
            <w:pPr>
              <w:spacing w:after="20"/>
              <w:rPr>
                <w:rFonts w:cs="Arial"/>
                <w:szCs w:val="24"/>
              </w:rPr>
            </w:pPr>
          </w:p>
        </w:tc>
        <w:tc>
          <w:tcPr>
            <w:tcW w:w="1243" w:type="dxa"/>
          </w:tcPr>
          <w:p w:rsidR="00613D68" w:rsidRPr="00633BE5" w:rsidRDefault="00C87CCB" w:rsidP="000268E5">
            <w:pPr>
              <w:spacing w:after="20"/>
              <w:rPr>
                <w:rFonts w:cs="Arial"/>
                <w:szCs w:val="24"/>
              </w:rPr>
            </w:pPr>
            <w:r w:rsidRPr="00633BE5">
              <w:rPr>
                <w:rFonts w:cs="Arial"/>
                <w:szCs w:val="24"/>
              </w:rPr>
              <w:t>E-mail:</w:t>
            </w:r>
          </w:p>
        </w:tc>
        <w:tc>
          <w:tcPr>
            <w:tcW w:w="3621" w:type="dxa"/>
          </w:tcPr>
          <w:p w:rsidR="00613D68" w:rsidRPr="00633BE5" w:rsidRDefault="00C87CCB" w:rsidP="000268E5">
            <w:pPr>
              <w:spacing w:after="20"/>
              <w:rPr>
                <w:rFonts w:cs="Arial"/>
                <w:szCs w:val="24"/>
              </w:rPr>
            </w:pPr>
            <w:r w:rsidRPr="00633BE5">
              <w:rPr>
                <w:rFonts w:cs="Arial"/>
                <w:szCs w:val="24"/>
              </w:rPr>
              <w:t>gill.kilpatrick@lancashire.gov.uk</w:t>
            </w:r>
          </w:p>
        </w:tc>
      </w:tr>
      <w:tr w:rsidR="00613D68" w:rsidRPr="00633BE5" w:rsidTr="00DD6847">
        <w:tc>
          <w:tcPr>
            <w:tcW w:w="5201" w:type="dxa"/>
            <w:vMerge/>
          </w:tcPr>
          <w:p w:rsidR="00613D68" w:rsidRPr="00633BE5" w:rsidRDefault="00613D68" w:rsidP="000268E5">
            <w:pPr>
              <w:spacing w:after="20"/>
              <w:rPr>
                <w:rFonts w:cs="Arial"/>
                <w:szCs w:val="24"/>
              </w:rPr>
            </w:pPr>
          </w:p>
        </w:tc>
        <w:tc>
          <w:tcPr>
            <w:tcW w:w="1243" w:type="dxa"/>
          </w:tcPr>
          <w:p w:rsidR="00613D68" w:rsidRPr="00633BE5" w:rsidRDefault="00613D68" w:rsidP="000268E5">
            <w:pPr>
              <w:spacing w:after="20"/>
              <w:rPr>
                <w:rFonts w:cs="Arial"/>
                <w:szCs w:val="24"/>
              </w:rPr>
            </w:pPr>
          </w:p>
        </w:tc>
        <w:tc>
          <w:tcPr>
            <w:tcW w:w="3621" w:type="dxa"/>
          </w:tcPr>
          <w:p w:rsidR="00613D68" w:rsidRPr="00633BE5" w:rsidRDefault="00613D68" w:rsidP="000268E5">
            <w:pPr>
              <w:spacing w:after="20"/>
              <w:rPr>
                <w:rFonts w:cs="Arial"/>
                <w:szCs w:val="24"/>
              </w:rPr>
            </w:pPr>
          </w:p>
        </w:tc>
      </w:tr>
      <w:tr w:rsidR="00613D68" w:rsidRPr="00633BE5" w:rsidTr="00DD6847">
        <w:tc>
          <w:tcPr>
            <w:tcW w:w="5201" w:type="dxa"/>
            <w:vMerge/>
          </w:tcPr>
          <w:p w:rsidR="00613D68" w:rsidRPr="00633BE5" w:rsidRDefault="00613D68" w:rsidP="000268E5">
            <w:pPr>
              <w:spacing w:after="20"/>
              <w:rPr>
                <w:rFonts w:cs="Arial"/>
                <w:szCs w:val="24"/>
              </w:rPr>
            </w:pPr>
          </w:p>
        </w:tc>
        <w:tc>
          <w:tcPr>
            <w:tcW w:w="1243" w:type="dxa"/>
          </w:tcPr>
          <w:p w:rsidR="00613D68" w:rsidRPr="00633BE5" w:rsidRDefault="00613D68" w:rsidP="000268E5">
            <w:pPr>
              <w:spacing w:after="20"/>
              <w:rPr>
                <w:rFonts w:cs="Arial"/>
                <w:szCs w:val="24"/>
              </w:rPr>
            </w:pPr>
          </w:p>
        </w:tc>
        <w:tc>
          <w:tcPr>
            <w:tcW w:w="3621" w:type="dxa"/>
          </w:tcPr>
          <w:p w:rsidR="00613D68" w:rsidRPr="00633BE5" w:rsidRDefault="00613D68" w:rsidP="000268E5">
            <w:pPr>
              <w:spacing w:after="20"/>
              <w:rPr>
                <w:rFonts w:cs="Arial"/>
                <w:szCs w:val="24"/>
              </w:rPr>
            </w:pPr>
          </w:p>
        </w:tc>
      </w:tr>
      <w:tr w:rsidR="00613D68" w:rsidRPr="00633BE5" w:rsidTr="00DD6847">
        <w:tc>
          <w:tcPr>
            <w:tcW w:w="5201" w:type="dxa"/>
            <w:vMerge/>
          </w:tcPr>
          <w:p w:rsidR="00613D68" w:rsidRPr="00633BE5" w:rsidRDefault="00613D68" w:rsidP="000268E5">
            <w:pPr>
              <w:spacing w:after="20"/>
              <w:rPr>
                <w:rFonts w:cs="Arial"/>
                <w:szCs w:val="24"/>
              </w:rPr>
            </w:pPr>
          </w:p>
        </w:tc>
        <w:tc>
          <w:tcPr>
            <w:tcW w:w="1243" w:type="dxa"/>
          </w:tcPr>
          <w:p w:rsidR="00613D68" w:rsidRPr="00633BE5" w:rsidRDefault="00613D68" w:rsidP="000268E5">
            <w:pPr>
              <w:spacing w:after="20"/>
              <w:rPr>
                <w:rFonts w:cs="Arial"/>
                <w:szCs w:val="24"/>
              </w:rPr>
            </w:pPr>
            <w:r w:rsidRPr="00633BE5">
              <w:rPr>
                <w:rFonts w:cs="Arial"/>
                <w:szCs w:val="24"/>
              </w:rPr>
              <w:t>Your ref:</w:t>
            </w:r>
          </w:p>
        </w:tc>
        <w:tc>
          <w:tcPr>
            <w:tcW w:w="3621" w:type="dxa"/>
          </w:tcPr>
          <w:p w:rsidR="00613D68" w:rsidRPr="00633BE5" w:rsidRDefault="002A2E05" w:rsidP="000268E5">
            <w:pPr>
              <w:spacing w:after="20"/>
              <w:rPr>
                <w:rFonts w:cs="Arial"/>
                <w:szCs w:val="24"/>
              </w:rPr>
            </w:pPr>
            <w:r w:rsidRPr="00633BE5">
              <w:rPr>
                <w:rFonts w:cs="Arial"/>
                <w:szCs w:val="24"/>
              </w:rPr>
              <w:fldChar w:fldCharType="begin">
                <w:ffData>
                  <w:name w:val="Text5"/>
                  <w:enabled/>
                  <w:calcOnExit w:val="0"/>
                  <w:textInput/>
                </w:ffData>
              </w:fldChar>
            </w:r>
            <w:bookmarkStart w:id="0" w:name="Text5"/>
            <w:r w:rsidR="00613D68" w:rsidRPr="00633BE5">
              <w:rPr>
                <w:rFonts w:cs="Arial"/>
                <w:szCs w:val="24"/>
              </w:rPr>
              <w:instrText xml:space="preserve"> FORMTEXT </w:instrText>
            </w:r>
            <w:r w:rsidRPr="00633BE5">
              <w:rPr>
                <w:rFonts w:cs="Arial"/>
                <w:szCs w:val="24"/>
              </w:rPr>
            </w:r>
            <w:r w:rsidRPr="00633BE5">
              <w:rPr>
                <w:rFonts w:cs="Arial"/>
                <w:szCs w:val="24"/>
              </w:rPr>
              <w:fldChar w:fldCharType="separate"/>
            </w:r>
            <w:r w:rsidR="00613D68" w:rsidRPr="00633BE5">
              <w:rPr>
                <w:rFonts w:cs="Arial"/>
                <w:noProof/>
                <w:szCs w:val="24"/>
              </w:rPr>
              <w:t> </w:t>
            </w:r>
            <w:r w:rsidR="00613D68" w:rsidRPr="00633BE5">
              <w:rPr>
                <w:rFonts w:cs="Arial"/>
                <w:noProof/>
                <w:szCs w:val="24"/>
              </w:rPr>
              <w:t> </w:t>
            </w:r>
            <w:r w:rsidR="00613D68" w:rsidRPr="00633BE5">
              <w:rPr>
                <w:rFonts w:cs="Arial"/>
                <w:noProof/>
                <w:szCs w:val="24"/>
              </w:rPr>
              <w:t> </w:t>
            </w:r>
            <w:r w:rsidR="00613D68" w:rsidRPr="00633BE5">
              <w:rPr>
                <w:rFonts w:cs="Arial"/>
                <w:noProof/>
                <w:szCs w:val="24"/>
              </w:rPr>
              <w:t> </w:t>
            </w:r>
            <w:r w:rsidR="00613D68" w:rsidRPr="00633BE5">
              <w:rPr>
                <w:rFonts w:cs="Arial"/>
                <w:noProof/>
                <w:szCs w:val="24"/>
              </w:rPr>
              <w:t> </w:t>
            </w:r>
            <w:r w:rsidRPr="00633BE5">
              <w:rPr>
                <w:rFonts w:cs="Arial"/>
                <w:szCs w:val="24"/>
              </w:rPr>
              <w:fldChar w:fldCharType="end"/>
            </w:r>
            <w:bookmarkEnd w:id="0"/>
          </w:p>
        </w:tc>
      </w:tr>
      <w:tr w:rsidR="00613D68" w:rsidRPr="00633BE5" w:rsidTr="00DD6847">
        <w:tc>
          <w:tcPr>
            <w:tcW w:w="5201" w:type="dxa"/>
            <w:vMerge/>
          </w:tcPr>
          <w:p w:rsidR="00613D68" w:rsidRPr="00633BE5" w:rsidRDefault="00613D68" w:rsidP="000268E5">
            <w:pPr>
              <w:spacing w:after="20"/>
              <w:rPr>
                <w:rFonts w:cs="Arial"/>
                <w:szCs w:val="24"/>
              </w:rPr>
            </w:pPr>
          </w:p>
        </w:tc>
        <w:tc>
          <w:tcPr>
            <w:tcW w:w="1243" w:type="dxa"/>
          </w:tcPr>
          <w:p w:rsidR="00613D68" w:rsidRPr="00633BE5" w:rsidRDefault="00613D68" w:rsidP="000268E5">
            <w:pPr>
              <w:spacing w:after="20"/>
              <w:rPr>
                <w:rFonts w:cs="Arial"/>
                <w:szCs w:val="24"/>
              </w:rPr>
            </w:pPr>
            <w:r w:rsidRPr="00633BE5">
              <w:rPr>
                <w:rFonts w:cs="Arial"/>
                <w:szCs w:val="24"/>
              </w:rPr>
              <w:t>Our ref:</w:t>
            </w:r>
          </w:p>
        </w:tc>
        <w:tc>
          <w:tcPr>
            <w:tcW w:w="3621" w:type="dxa"/>
          </w:tcPr>
          <w:p w:rsidR="00613D68" w:rsidRPr="00633BE5" w:rsidRDefault="00C87CCB" w:rsidP="004074C7">
            <w:pPr>
              <w:spacing w:after="20"/>
              <w:rPr>
                <w:rFonts w:cs="Arial"/>
                <w:szCs w:val="24"/>
              </w:rPr>
            </w:pPr>
            <w:r w:rsidRPr="00633BE5">
              <w:rPr>
                <w:rFonts w:cs="Arial"/>
                <w:szCs w:val="24"/>
              </w:rPr>
              <w:t>CT</w:t>
            </w:r>
            <w:r w:rsidR="006A4D34" w:rsidRPr="00633BE5">
              <w:rPr>
                <w:rFonts w:cs="Arial"/>
                <w:szCs w:val="24"/>
              </w:rPr>
              <w:t>/GK/</w:t>
            </w:r>
            <w:r w:rsidR="004074C7" w:rsidRPr="00633BE5">
              <w:rPr>
                <w:rFonts w:cs="Arial"/>
                <w:szCs w:val="24"/>
              </w:rPr>
              <w:t>SS</w:t>
            </w:r>
          </w:p>
        </w:tc>
      </w:tr>
      <w:tr w:rsidR="00613D68" w:rsidRPr="00633BE5" w:rsidTr="00DD6847">
        <w:tc>
          <w:tcPr>
            <w:tcW w:w="5201" w:type="dxa"/>
            <w:vMerge/>
          </w:tcPr>
          <w:p w:rsidR="00613D68" w:rsidRPr="00633BE5" w:rsidRDefault="00613D68" w:rsidP="000268E5">
            <w:pPr>
              <w:spacing w:after="20"/>
              <w:rPr>
                <w:rFonts w:cs="Arial"/>
                <w:szCs w:val="24"/>
              </w:rPr>
            </w:pPr>
          </w:p>
        </w:tc>
        <w:tc>
          <w:tcPr>
            <w:tcW w:w="1243" w:type="dxa"/>
          </w:tcPr>
          <w:p w:rsidR="00613D68" w:rsidRPr="00633BE5" w:rsidRDefault="00613D68" w:rsidP="000268E5">
            <w:pPr>
              <w:spacing w:after="20"/>
              <w:rPr>
                <w:rFonts w:cs="Arial"/>
                <w:szCs w:val="24"/>
              </w:rPr>
            </w:pPr>
            <w:r w:rsidRPr="00633BE5">
              <w:rPr>
                <w:rFonts w:cs="Arial"/>
                <w:szCs w:val="24"/>
              </w:rPr>
              <w:t>Date:</w:t>
            </w:r>
          </w:p>
        </w:tc>
        <w:tc>
          <w:tcPr>
            <w:tcW w:w="3621" w:type="dxa"/>
          </w:tcPr>
          <w:p w:rsidR="00613D68" w:rsidRPr="00633BE5" w:rsidRDefault="00AF503E" w:rsidP="004074C7">
            <w:pPr>
              <w:spacing w:after="20"/>
              <w:rPr>
                <w:rFonts w:cs="Arial"/>
                <w:szCs w:val="24"/>
              </w:rPr>
            </w:pPr>
            <w:r w:rsidRPr="00633BE5">
              <w:rPr>
                <w:rFonts w:cs="Arial"/>
                <w:szCs w:val="24"/>
              </w:rPr>
              <w:t>29</w:t>
            </w:r>
            <w:r w:rsidR="00374C15" w:rsidRPr="00633BE5">
              <w:rPr>
                <w:rFonts w:cs="Arial"/>
                <w:szCs w:val="24"/>
              </w:rPr>
              <w:t xml:space="preserve"> September 201</w:t>
            </w:r>
            <w:r w:rsidR="004074C7" w:rsidRPr="00633BE5">
              <w:rPr>
                <w:rFonts w:cs="Arial"/>
                <w:szCs w:val="24"/>
              </w:rPr>
              <w:t>4</w:t>
            </w:r>
          </w:p>
        </w:tc>
      </w:tr>
    </w:tbl>
    <w:p w:rsidR="00374C15" w:rsidRPr="00633BE5" w:rsidRDefault="00374C15" w:rsidP="00374C15">
      <w:pPr>
        <w:rPr>
          <w:rFonts w:cs="Arial"/>
          <w:szCs w:val="24"/>
        </w:rPr>
      </w:pPr>
      <w:r w:rsidRPr="00633BE5">
        <w:rPr>
          <w:rFonts w:cs="Arial"/>
          <w:szCs w:val="24"/>
        </w:rPr>
        <w:t>Dear Karen</w:t>
      </w:r>
    </w:p>
    <w:p w:rsidR="00374C15" w:rsidRPr="00633BE5" w:rsidRDefault="00374C15" w:rsidP="00374C15">
      <w:pPr>
        <w:pStyle w:val="Heading1"/>
        <w:rPr>
          <w:rFonts w:ascii="Arial" w:hAnsi="Arial"/>
          <w:color w:val="000000" w:themeColor="text1"/>
          <w:sz w:val="24"/>
          <w:szCs w:val="24"/>
        </w:rPr>
      </w:pPr>
      <w:r w:rsidRPr="00633BE5">
        <w:rPr>
          <w:rFonts w:ascii="Arial" w:hAnsi="Arial"/>
          <w:color w:val="000000" w:themeColor="text1"/>
          <w:sz w:val="24"/>
          <w:szCs w:val="24"/>
        </w:rPr>
        <w:t xml:space="preserve">Lancashire County Council </w:t>
      </w:r>
    </w:p>
    <w:p w:rsidR="00374C15" w:rsidRPr="00633BE5" w:rsidRDefault="00374C15" w:rsidP="00374C15">
      <w:pPr>
        <w:pStyle w:val="Heading1"/>
        <w:rPr>
          <w:rFonts w:ascii="Arial" w:hAnsi="Arial"/>
          <w:color w:val="000000" w:themeColor="text1"/>
          <w:sz w:val="24"/>
          <w:szCs w:val="24"/>
        </w:rPr>
      </w:pPr>
      <w:r w:rsidRPr="00633BE5">
        <w:rPr>
          <w:rFonts w:ascii="Arial" w:hAnsi="Arial"/>
          <w:color w:val="000000" w:themeColor="text1"/>
          <w:sz w:val="24"/>
          <w:szCs w:val="24"/>
        </w:rPr>
        <w:t>Financial Statements for the year ended 31 March 201</w:t>
      </w:r>
      <w:r w:rsidR="004074C7" w:rsidRPr="00633BE5">
        <w:rPr>
          <w:rFonts w:ascii="Arial" w:hAnsi="Arial"/>
          <w:color w:val="000000" w:themeColor="text1"/>
          <w:sz w:val="24"/>
          <w:szCs w:val="24"/>
        </w:rPr>
        <w:t>4</w:t>
      </w:r>
    </w:p>
    <w:p w:rsidR="00374C15" w:rsidRPr="00633BE5" w:rsidRDefault="00374C15" w:rsidP="00374C15">
      <w:pPr>
        <w:rPr>
          <w:rFonts w:cs="Arial"/>
          <w:szCs w:val="24"/>
        </w:rPr>
      </w:pPr>
      <w:r w:rsidRPr="00633BE5">
        <w:rPr>
          <w:rFonts w:cs="Arial"/>
          <w:szCs w:val="24"/>
        </w:rPr>
        <w:t xml:space="preserve">This representation letter is provided in connection with the audit of the financial statements of </w:t>
      </w:r>
      <w:r w:rsidRPr="00633BE5">
        <w:rPr>
          <w:rFonts w:cs="Arial"/>
          <w:b/>
          <w:szCs w:val="24"/>
        </w:rPr>
        <w:t>Lancashire County Council</w:t>
      </w:r>
      <w:r w:rsidRPr="00633BE5">
        <w:rPr>
          <w:rFonts w:cs="Arial"/>
          <w:szCs w:val="24"/>
        </w:rPr>
        <w:t xml:space="preserve"> for the year ended 31 March 201</w:t>
      </w:r>
      <w:r w:rsidR="004074C7" w:rsidRPr="00633BE5">
        <w:rPr>
          <w:rFonts w:cs="Arial"/>
          <w:szCs w:val="24"/>
        </w:rPr>
        <w:t>4</w:t>
      </w:r>
      <w:r w:rsidRPr="00633BE5">
        <w:rPr>
          <w:rFonts w:cs="Arial"/>
          <w:szCs w:val="24"/>
        </w:rPr>
        <w:t xml:space="preserve"> for the purpose of expressing an opinion as to whether the financial statements give a true and fair view </w:t>
      </w:r>
      <w:r w:rsidR="00AF605D" w:rsidRPr="00633BE5">
        <w:rPr>
          <w:rFonts w:cs="Arial"/>
          <w:szCs w:val="24"/>
        </w:rPr>
        <w:t xml:space="preserve">of the financial transactions during the year ended 31 March 2014, and of the amount and disposition at that date of its assets and liabilities in accordance with applicable law and the CIPFA/LASAAC code of </w:t>
      </w:r>
      <w:r w:rsidR="00147AF7" w:rsidRPr="00633BE5">
        <w:rPr>
          <w:rFonts w:cs="Arial"/>
          <w:szCs w:val="24"/>
        </w:rPr>
        <w:t>Practice on Local Authority Accounting in the United Kingdom 2013/14 (the Code).</w:t>
      </w:r>
    </w:p>
    <w:p w:rsidR="00374C15" w:rsidRPr="00633BE5" w:rsidRDefault="00374C15" w:rsidP="00374C15">
      <w:pPr>
        <w:rPr>
          <w:rFonts w:cs="Arial"/>
          <w:szCs w:val="24"/>
        </w:rPr>
      </w:pPr>
      <w:r w:rsidRPr="00633BE5">
        <w:rPr>
          <w:rFonts w:cs="Arial"/>
          <w:szCs w:val="24"/>
        </w:rPr>
        <w:lastRenderedPageBreak/>
        <w:t>We confirm that to the best of our knowled</w:t>
      </w:r>
      <w:r w:rsidR="00C470C5" w:rsidRPr="00633BE5">
        <w:rPr>
          <w:rFonts w:cs="Arial"/>
          <w:szCs w:val="24"/>
        </w:rPr>
        <w:t>ge and belief having made such e</w:t>
      </w:r>
      <w:r w:rsidRPr="00633BE5">
        <w:rPr>
          <w:rFonts w:cs="Arial"/>
          <w:szCs w:val="24"/>
        </w:rPr>
        <w:t>nquiries as we considered necessary for the purpose of appropriately informing ourselves:</w:t>
      </w:r>
    </w:p>
    <w:p w:rsidR="00633BE5" w:rsidRDefault="00633BE5" w:rsidP="00374C15">
      <w:pPr>
        <w:rPr>
          <w:rFonts w:cs="Arial"/>
          <w:b/>
          <w:szCs w:val="24"/>
        </w:rPr>
      </w:pPr>
    </w:p>
    <w:p w:rsidR="00374C15" w:rsidRPr="00633BE5" w:rsidRDefault="00374C15" w:rsidP="00374C15">
      <w:pPr>
        <w:rPr>
          <w:rFonts w:cs="Arial"/>
          <w:b/>
          <w:szCs w:val="24"/>
        </w:rPr>
      </w:pPr>
      <w:r w:rsidRPr="00633BE5">
        <w:rPr>
          <w:rFonts w:cs="Arial"/>
          <w:b/>
          <w:szCs w:val="24"/>
        </w:rPr>
        <w:t>Financial Statements</w:t>
      </w:r>
    </w:p>
    <w:p w:rsidR="00633BE5" w:rsidRDefault="00633BE5" w:rsidP="00633BE5">
      <w:pPr>
        <w:pStyle w:val="Bulleti"/>
        <w:numPr>
          <w:ilvl w:val="0"/>
          <w:numId w:val="0"/>
        </w:numPr>
        <w:ind w:left="454"/>
        <w:rPr>
          <w:rFonts w:ascii="Arial" w:hAnsi="Arial" w:cs="Arial"/>
          <w:sz w:val="24"/>
          <w:szCs w:val="24"/>
        </w:rPr>
      </w:pPr>
    </w:p>
    <w:p w:rsidR="00374C15" w:rsidRPr="00633BE5" w:rsidRDefault="00374C15" w:rsidP="00374C15">
      <w:pPr>
        <w:pStyle w:val="Bulleti"/>
        <w:rPr>
          <w:rStyle w:val="BulletiChar"/>
          <w:rFonts w:ascii="Arial" w:hAnsi="Arial" w:cs="Arial"/>
          <w:sz w:val="24"/>
          <w:szCs w:val="24"/>
        </w:rPr>
      </w:pPr>
      <w:r w:rsidRPr="00633BE5">
        <w:rPr>
          <w:rFonts w:ascii="Arial" w:hAnsi="Arial" w:cs="Arial"/>
          <w:sz w:val="24"/>
          <w:szCs w:val="24"/>
        </w:rPr>
        <w:t>We have complied with the requirements of all statutory directions and these matters have been appropriately reflected and disclosed in the financial statements.</w:t>
      </w:r>
    </w:p>
    <w:p w:rsidR="00374C15" w:rsidRPr="00633BE5" w:rsidRDefault="00374C15" w:rsidP="00374C15">
      <w:pPr>
        <w:pStyle w:val="Bulleti"/>
        <w:rPr>
          <w:rFonts w:ascii="Arial" w:hAnsi="Arial" w:cs="Arial"/>
          <w:sz w:val="24"/>
          <w:szCs w:val="24"/>
        </w:rPr>
      </w:pPr>
      <w:r w:rsidRPr="00633BE5">
        <w:rPr>
          <w:rFonts w:ascii="Arial" w:hAnsi="Arial" w:cs="Arial"/>
          <w:sz w:val="24"/>
          <w:szCs w:val="24"/>
        </w:rPr>
        <w:t>Significant assumptions used by us in making accounting estimates, including those measured at fair value, are reasonable.</w:t>
      </w:r>
    </w:p>
    <w:p w:rsidR="00374C15" w:rsidRPr="00633BE5" w:rsidRDefault="00374C15" w:rsidP="00374C15">
      <w:pPr>
        <w:pStyle w:val="Bulleti"/>
        <w:rPr>
          <w:rFonts w:ascii="Arial" w:hAnsi="Arial" w:cs="Arial"/>
          <w:sz w:val="24"/>
          <w:szCs w:val="24"/>
        </w:rPr>
      </w:pPr>
      <w:r w:rsidRPr="00633BE5">
        <w:rPr>
          <w:rFonts w:ascii="Arial" w:hAnsi="Arial" w:cs="Arial"/>
          <w:sz w:val="24"/>
          <w:szCs w:val="24"/>
        </w:rPr>
        <w:t>We are satisfied that the material judgements used by us in the preparation of the financial statements are soundly based, in accordance with the Code, and adequately disclosed in the financial statements. There are no further material judgements that need to be disclosed.</w:t>
      </w:r>
    </w:p>
    <w:p w:rsidR="00374C15" w:rsidRPr="00633BE5" w:rsidRDefault="00374C15" w:rsidP="00374C15">
      <w:pPr>
        <w:pStyle w:val="Bulleti"/>
        <w:rPr>
          <w:rFonts w:ascii="Arial" w:hAnsi="Arial" w:cs="Arial"/>
          <w:sz w:val="24"/>
          <w:szCs w:val="24"/>
        </w:rPr>
      </w:pPr>
      <w:r w:rsidRPr="00633BE5">
        <w:rPr>
          <w:rFonts w:ascii="Arial" w:hAnsi="Arial" w:cs="Arial"/>
          <w:sz w:val="24"/>
          <w:szCs w:val="24"/>
        </w:rPr>
        <w:t xml:space="preserve">We confirm that we are satisfied that the actuarial assumptions underlying the valuation of pension scheme liabilities for IAS19 disclosures are consistent with our knowledge.  We confirm that all settlements and curtailments have been identified and </w:t>
      </w:r>
      <w:r w:rsidRPr="00633BE5">
        <w:rPr>
          <w:rFonts w:ascii="Arial" w:hAnsi="Arial" w:cs="Arial"/>
          <w:sz w:val="24"/>
          <w:szCs w:val="24"/>
        </w:rPr>
        <w:lastRenderedPageBreak/>
        <w:t>properly accounted for.  We also confirm that all significant retirement benefits have been identified and properly accounted for (including any arrangements that are statutory, contractual or implicit in the employer’s actions, that arise in the UK or overseas, that are funded or unfunded).</w:t>
      </w:r>
    </w:p>
    <w:p w:rsidR="00374C15" w:rsidRPr="00633BE5" w:rsidRDefault="00374C15" w:rsidP="00374C15">
      <w:pPr>
        <w:pStyle w:val="Bulleti"/>
        <w:rPr>
          <w:rFonts w:ascii="Arial" w:hAnsi="Arial" w:cs="Arial"/>
          <w:sz w:val="24"/>
          <w:szCs w:val="24"/>
        </w:rPr>
      </w:pPr>
      <w:r w:rsidRPr="00633BE5">
        <w:rPr>
          <w:rFonts w:ascii="Arial" w:hAnsi="Arial" w:cs="Arial"/>
          <w:sz w:val="24"/>
          <w:szCs w:val="24"/>
        </w:rPr>
        <w:t>Related party relationships and transactions have been appropriately accounted for and disclosed in accordance with the requirements of International Financial Reporting Standards and the code.</w:t>
      </w:r>
    </w:p>
    <w:p w:rsidR="00374C15" w:rsidRPr="00633BE5" w:rsidRDefault="00374C15" w:rsidP="00374C15">
      <w:pPr>
        <w:pStyle w:val="Bulleti"/>
        <w:rPr>
          <w:rFonts w:ascii="Arial" w:hAnsi="Arial" w:cs="Arial"/>
          <w:sz w:val="24"/>
          <w:szCs w:val="24"/>
        </w:rPr>
      </w:pPr>
      <w:r w:rsidRPr="00633BE5">
        <w:rPr>
          <w:rFonts w:ascii="Arial" w:hAnsi="Arial" w:cs="Arial"/>
          <w:sz w:val="24"/>
          <w:szCs w:val="24"/>
        </w:rPr>
        <w:t>All events subsequent to the date of the financial statements</w:t>
      </w:r>
      <w:r w:rsidR="009249E1" w:rsidRPr="00633BE5">
        <w:rPr>
          <w:rFonts w:ascii="Arial" w:hAnsi="Arial" w:cs="Arial"/>
          <w:sz w:val="24"/>
          <w:szCs w:val="24"/>
        </w:rPr>
        <w:t xml:space="preserve"> of which we are aware</w:t>
      </w:r>
      <w:r w:rsidRPr="00633BE5">
        <w:rPr>
          <w:rFonts w:ascii="Arial" w:hAnsi="Arial" w:cs="Arial"/>
          <w:sz w:val="24"/>
          <w:szCs w:val="24"/>
        </w:rPr>
        <w:t xml:space="preserve"> and for which International Financial Reporting Standards and the code requires adjustment or disclosure have been adjusted or disclosed.  </w:t>
      </w:r>
    </w:p>
    <w:p w:rsidR="00374C15" w:rsidRPr="00633BE5" w:rsidRDefault="00374C15" w:rsidP="00374C15">
      <w:pPr>
        <w:pStyle w:val="Bulleti"/>
        <w:rPr>
          <w:rFonts w:ascii="Arial" w:hAnsi="Arial" w:cs="Arial"/>
          <w:sz w:val="24"/>
          <w:szCs w:val="24"/>
        </w:rPr>
      </w:pPr>
      <w:r w:rsidRPr="00633BE5">
        <w:rPr>
          <w:rFonts w:ascii="Arial" w:hAnsi="Arial" w:cs="Arial"/>
          <w:sz w:val="24"/>
          <w:szCs w:val="24"/>
        </w:rPr>
        <w:t>We have not adjusted the misstatements brought to our attention in the Audit Findings report, which are considered to be immaterial to the results of the Council</w:t>
      </w:r>
      <w:r w:rsidRPr="00633BE5">
        <w:rPr>
          <w:rFonts w:ascii="Arial" w:hAnsi="Arial" w:cs="Arial"/>
          <w:b/>
          <w:color w:val="FF0000"/>
          <w:sz w:val="24"/>
          <w:szCs w:val="24"/>
        </w:rPr>
        <w:t xml:space="preserve"> </w:t>
      </w:r>
      <w:r w:rsidRPr="00633BE5">
        <w:rPr>
          <w:rFonts w:ascii="Arial" w:hAnsi="Arial" w:cs="Arial"/>
          <w:sz w:val="24"/>
          <w:szCs w:val="24"/>
        </w:rPr>
        <w:t>and its financial position at the year-end.  The financial statements are free of material misstatements, including omissions.</w:t>
      </w:r>
    </w:p>
    <w:p w:rsidR="00374C15" w:rsidRPr="00633BE5" w:rsidRDefault="00374C15" w:rsidP="00374C15">
      <w:pPr>
        <w:pStyle w:val="Bulleti"/>
        <w:rPr>
          <w:rFonts w:ascii="Arial" w:hAnsi="Arial" w:cs="Arial"/>
          <w:sz w:val="24"/>
          <w:szCs w:val="24"/>
        </w:rPr>
      </w:pPr>
      <w:r w:rsidRPr="00633BE5">
        <w:rPr>
          <w:rFonts w:ascii="Arial" w:hAnsi="Arial" w:cs="Arial"/>
          <w:sz w:val="24"/>
          <w:szCs w:val="24"/>
        </w:rPr>
        <w:t>We have no plans or intentions that may materially alter the carrying value or classification of assets and liabilities reflected in the financial statements.</w:t>
      </w:r>
    </w:p>
    <w:p w:rsidR="00633BE5" w:rsidRDefault="00633BE5" w:rsidP="00374C15">
      <w:pPr>
        <w:pStyle w:val="Bulleti"/>
        <w:numPr>
          <w:ilvl w:val="0"/>
          <w:numId w:val="0"/>
        </w:numPr>
        <w:rPr>
          <w:rFonts w:ascii="Arial" w:hAnsi="Arial" w:cs="Arial"/>
          <w:b/>
          <w:sz w:val="24"/>
          <w:szCs w:val="24"/>
        </w:rPr>
      </w:pPr>
    </w:p>
    <w:p w:rsidR="00374C15" w:rsidRPr="00633BE5" w:rsidRDefault="00374C15" w:rsidP="00374C15">
      <w:pPr>
        <w:pStyle w:val="Bulleti"/>
        <w:numPr>
          <w:ilvl w:val="0"/>
          <w:numId w:val="0"/>
        </w:numPr>
        <w:rPr>
          <w:rFonts w:ascii="Arial" w:hAnsi="Arial" w:cs="Arial"/>
          <w:b/>
          <w:sz w:val="24"/>
          <w:szCs w:val="24"/>
        </w:rPr>
      </w:pPr>
      <w:r w:rsidRPr="00633BE5">
        <w:rPr>
          <w:rFonts w:ascii="Arial" w:hAnsi="Arial" w:cs="Arial"/>
          <w:b/>
          <w:sz w:val="24"/>
          <w:szCs w:val="24"/>
        </w:rPr>
        <w:t>Information Provided</w:t>
      </w:r>
    </w:p>
    <w:p w:rsidR="00633BE5" w:rsidRDefault="00633BE5" w:rsidP="00633BE5">
      <w:pPr>
        <w:pStyle w:val="Bulleti"/>
        <w:numPr>
          <w:ilvl w:val="0"/>
          <w:numId w:val="0"/>
        </w:numPr>
        <w:ind w:left="454"/>
        <w:rPr>
          <w:rFonts w:ascii="Arial" w:hAnsi="Arial" w:cs="Arial"/>
          <w:sz w:val="24"/>
          <w:szCs w:val="24"/>
        </w:rPr>
      </w:pPr>
    </w:p>
    <w:p w:rsidR="00374C15" w:rsidRPr="00633BE5" w:rsidRDefault="00374C15" w:rsidP="00374C15">
      <w:pPr>
        <w:pStyle w:val="Bulleti"/>
        <w:rPr>
          <w:rFonts w:ascii="Arial" w:hAnsi="Arial" w:cs="Arial"/>
          <w:sz w:val="24"/>
          <w:szCs w:val="24"/>
        </w:rPr>
      </w:pPr>
      <w:r w:rsidRPr="00633BE5">
        <w:rPr>
          <w:rFonts w:ascii="Arial" w:hAnsi="Arial" w:cs="Arial"/>
          <w:sz w:val="24"/>
          <w:szCs w:val="24"/>
        </w:rPr>
        <w:t>We have communicated to you all deficiencies in internal control of which management is aware, including all items raised with</w:t>
      </w:r>
      <w:r w:rsidR="0002485E" w:rsidRPr="00633BE5">
        <w:rPr>
          <w:rFonts w:ascii="Arial" w:hAnsi="Arial" w:cs="Arial"/>
          <w:sz w:val="24"/>
          <w:szCs w:val="24"/>
        </w:rPr>
        <w:t>in the Annual C</w:t>
      </w:r>
      <w:r w:rsidRPr="00633BE5">
        <w:rPr>
          <w:rFonts w:ascii="Arial" w:hAnsi="Arial" w:cs="Arial"/>
          <w:sz w:val="24"/>
          <w:szCs w:val="24"/>
        </w:rPr>
        <w:t xml:space="preserve">ounter </w:t>
      </w:r>
      <w:r w:rsidR="0002485E" w:rsidRPr="00633BE5">
        <w:rPr>
          <w:rFonts w:ascii="Arial" w:hAnsi="Arial" w:cs="Arial"/>
          <w:sz w:val="24"/>
          <w:szCs w:val="24"/>
        </w:rPr>
        <w:t>F</w:t>
      </w:r>
      <w:r w:rsidRPr="00633BE5">
        <w:rPr>
          <w:rFonts w:ascii="Arial" w:hAnsi="Arial" w:cs="Arial"/>
          <w:sz w:val="24"/>
          <w:szCs w:val="24"/>
        </w:rPr>
        <w:t>raud report</w:t>
      </w:r>
      <w:r w:rsidR="009249E1" w:rsidRPr="00633BE5">
        <w:rPr>
          <w:rFonts w:ascii="Arial" w:hAnsi="Arial" w:cs="Arial"/>
          <w:sz w:val="24"/>
          <w:szCs w:val="24"/>
        </w:rPr>
        <w:t>,</w:t>
      </w:r>
      <w:r w:rsidRPr="00633BE5">
        <w:rPr>
          <w:rFonts w:ascii="Arial" w:hAnsi="Arial" w:cs="Arial"/>
          <w:sz w:val="24"/>
          <w:szCs w:val="24"/>
        </w:rPr>
        <w:t xml:space="preserve"> </w:t>
      </w:r>
      <w:r w:rsidR="0002485E" w:rsidRPr="00633BE5">
        <w:rPr>
          <w:rFonts w:ascii="Arial" w:hAnsi="Arial" w:cs="Arial"/>
          <w:sz w:val="24"/>
          <w:szCs w:val="24"/>
        </w:rPr>
        <w:t>the Chief Internal Auditors Annual R</w:t>
      </w:r>
      <w:r w:rsidR="009249E1" w:rsidRPr="00633BE5">
        <w:rPr>
          <w:rFonts w:ascii="Arial" w:hAnsi="Arial" w:cs="Arial"/>
          <w:sz w:val="24"/>
          <w:szCs w:val="24"/>
        </w:rPr>
        <w:t>eport and the Annual Governance Statement</w:t>
      </w:r>
      <w:r w:rsidRPr="00633BE5">
        <w:rPr>
          <w:rFonts w:ascii="Arial" w:hAnsi="Arial" w:cs="Arial"/>
          <w:sz w:val="24"/>
          <w:szCs w:val="24"/>
        </w:rPr>
        <w:t>.</w:t>
      </w:r>
    </w:p>
    <w:p w:rsidR="00374C15" w:rsidRPr="00633BE5" w:rsidRDefault="00374C15" w:rsidP="00374C15">
      <w:pPr>
        <w:pStyle w:val="Bulleti"/>
        <w:rPr>
          <w:rFonts w:ascii="Arial" w:hAnsi="Arial" w:cs="Arial"/>
          <w:sz w:val="24"/>
          <w:szCs w:val="24"/>
        </w:rPr>
      </w:pPr>
      <w:r w:rsidRPr="00633BE5">
        <w:rPr>
          <w:rFonts w:ascii="Arial" w:hAnsi="Arial" w:cs="Arial"/>
          <w:sz w:val="24"/>
          <w:szCs w:val="24"/>
        </w:rPr>
        <w:t>All transactions have been recorded in the accounting records and are reflected in the financial statements.</w:t>
      </w:r>
    </w:p>
    <w:p w:rsidR="00374C15" w:rsidRPr="00633BE5" w:rsidRDefault="00374C15" w:rsidP="00374C15">
      <w:pPr>
        <w:pStyle w:val="Bulleti"/>
        <w:rPr>
          <w:rFonts w:ascii="Arial" w:hAnsi="Arial" w:cs="Arial"/>
          <w:sz w:val="24"/>
          <w:szCs w:val="24"/>
        </w:rPr>
      </w:pPr>
      <w:r w:rsidRPr="00633BE5">
        <w:rPr>
          <w:rFonts w:ascii="Arial" w:hAnsi="Arial" w:cs="Arial"/>
          <w:sz w:val="24"/>
          <w:szCs w:val="24"/>
        </w:rPr>
        <w:t>We have disclosed to you the entity of the Council's related parties and all the related party relationships and transactions of which we are aware.</w:t>
      </w:r>
    </w:p>
    <w:p w:rsidR="00633BE5" w:rsidRDefault="00633BE5" w:rsidP="00374C15">
      <w:pPr>
        <w:pStyle w:val="Bulleti"/>
        <w:numPr>
          <w:ilvl w:val="0"/>
          <w:numId w:val="0"/>
        </w:numPr>
        <w:rPr>
          <w:rFonts w:ascii="Arial" w:hAnsi="Arial" w:cs="Arial"/>
          <w:b/>
          <w:sz w:val="24"/>
          <w:szCs w:val="24"/>
        </w:rPr>
      </w:pPr>
    </w:p>
    <w:p w:rsidR="00633BE5" w:rsidRDefault="00633BE5" w:rsidP="00374C15">
      <w:pPr>
        <w:pStyle w:val="Bulleti"/>
        <w:numPr>
          <w:ilvl w:val="0"/>
          <w:numId w:val="0"/>
        </w:numPr>
        <w:rPr>
          <w:rFonts w:ascii="Arial" w:hAnsi="Arial" w:cs="Arial"/>
          <w:b/>
          <w:sz w:val="24"/>
          <w:szCs w:val="24"/>
        </w:rPr>
      </w:pPr>
    </w:p>
    <w:p w:rsidR="00633BE5" w:rsidRDefault="00633BE5" w:rsidP="00374C15">
      <w:pPr>
        <w:pStyle w:val="Bulleti"/>
        <w:numPr>
          <w:ilvl w:val="0"/>
          <w:numId w:val="0"/>
        </w:numPr>
        <w:rPr>
          <w:rFonts w:ascii="Arial" w:hAnsi="Arial" w:cs="Arial"/>
          <w:b/>
          <w:sz w:val="24"/>
          <w:szCs w:val="24"/>
        </w:rPr>
      </w:pPr>
    </w:p>
    <w:p w:rsidR="00633BE5" w:rsidRDefault="00633BE5" w:rsidP="00374C15">
      <w:pPr>
        <w:pStyle w:val="Bulleti"/>
        <w:numPr>
          <w:ilvl w:val="0"/>
          <w:numId w:val="0"/>
        </w:numPr>
        <w:rPr>
          <w:rFonts w:ascii="Arial" w:hAnsi="Arial" w:cs="Arial"/>
          <w:b/>
          <w:sz w:val="24"/>
          <w:szCs w:val="24"/>
        </w:rPr>
      </w:pPr>
    </w:p>
    <w:p w:rsidR="00374C15" w:rsidRPr="00633BE5" w:rsidRDefault="00374C15" w:rsidP="00374C15">
      <w:pPr>
        <w:pStyle w:val="Bulleti"/>
        <w:numPr>
          <w:ilvl w:val="0"/>
          <w:numId w:val="0"/>
        </w:numPr>
        <w:rPr>
          <w:rFonts w:ascii="Arial" w:hAnsi="Arial" w:cs="Arial"/>
          <w:b/>
          <w:sz w:val="24"/>
          <w:szCs w:val="24"/>
        </w:rPr>
      </w:pPr>
      <w:r w:rsidRPr="00633BE5">
        <w:rPr>
          <w:rFonts w:ascii="Arial" w:hAnsi="Arial" w:cs="Arial"/>
          <w:b/>
          <w:sz w:val="24"/>
          <w:szCs w:val="24"/>
        </w:rPr>
        <w:t>Annual Governance Statement</w:t>
      </w:r>
    </w:p>
    <w:p w:rsidR="00633BE5" w:rsidRDefault="00633BE5" w:rsidP="00633BE5">
      <w:pPr>
        <w:pStyle w:val="Bulleti"/>
        <w:numPr>
          <w:ilvl w:val="0"/>
          <w:numId w:val="0"/>
        </w:numPr>
        <w:ind w:left="454"/>
        <w:rPr>
          <w:rFonts w:ascii="Arial" w:hAnsi="Arial" w:cs="Arial"/>
          <w:sz w:val="24"/>
          <w:szCs w:val="24"/>
        </w:rPr>
      </w:pPr>
    </w:p>
    <w:p w:rsidR="00374C15" w:rsidRPr="00633BE5" w:rsidRDefault="00374C15" w:rsidP="00374C15">
      <w:pPr>
        <w:pStyle w:val="Bulleti"/>
        <w:rPr>
          <w:rFonts w:ascii="Arial" w:hAnsi="Arial" w:cs="Arial"/>
          <w:sz w:val="24"/>
          <w:szCs w:val="24"/>
        </w:rPr>
      </w:pPr>
      <w:r w:rsidRPr="00633BE5">
        <w:rPr>
          <w:rFonts w:ascii="Arial" w:hAnsi="Arial" w:cs="Arial"/>
          <w:sz w:val="24"/>
          <w:szCs w:val="24"/>
        </w:rPr>
        <w:lastRenderedPageBreak/>
        <w:t>We are satisfied that the Annual Governance Statement (AGS) fairly reflects the Council's risk assurance and governance framework and we confirm that we are not aware of any significant risks that are not disclosed within the AGS</w:t>
      </w:r>
    </w:p>
    <w:p w:rsidR="00633BE5" w:rsidRDefault="00633BE5" w:rsidP="00374C15">
      <w:pPr>
        <w:pStyle w:val="Bulleti"/>
        <w:numPr>
          <w:ilvl w:val="0"/>
          <w:numId w:val="0"/>
        </w:numPr>
        <w:rPr>
          <w:rFonts w:ascii="Arial" w:hAnsi="Arial" w:cs="Arial"/>
          <w:b/>
          <w:sz w:val="24"/>
          <w:szCs w:val="24"/>
        </w:rPr>
      </w:pPr>
    </w:p>
    <w:p w:rsidR="00374C15" w:rsidRPr="00633BE5" w:rsidRDefault="00374C15" w:rsidP="00374C15">
      <w:pPr>
        <w:pStyle w:val="Bulleti"/>
        <w:numPr>
          <w:ilvl w:val="0"/>
          <w:numId w:val="0"/>
        </w:numPr>
        <w:rPr>
          <w:rFonts w:ascii="Arial" w:hAnsi="Arial" w:cs="Arial"/>
          <w:b/>
          <w:sz w:val="24"/>
          <w:szCs w:val="24"/>
        </w:rPr>
      </w:pPr>
      <w:r w:rsidRPr="00633BE5">
        <w:rPr>
          <w:rFonts w:ascii="Arial" w:hAnsi="Arial" w:cs="Arial"/>
          <w:b/>
          <w:sz w:val="24"/>
          <w:szCs w:val="24"/>
        </w:rPr>
        <w:t>Approval</w:t>
      </w:r>
    </w:p>
    <w:p w:rsidR="00633BE5" w:rsidRDefault="00633BE5" w:rsidP="00374C15">
      <w:pPr>
        <w:pStyle w:val="Bulleti"/>
        <w:numPr>
          <w:ilvl w:val="0"/>
          <w:numId w:val="0"/>
        </w:numPr>
        <w:tabs>
          <w:tab w:val="clear" w:pos="454"/>
          <w:tab w:val="left" w:pos="0"/>
        </w:tabs>
        <w:rPr>
          <w:rFonts w:ascii="Arial" w:hAnsi="Arial" w:cs="Arial"/>
          <w:sz w:val="24"/>
          <w:szCs w:val="24"/>
        </w:rPr>
      </w:pPr>
    </w:p>
    <w:p w:rsidR="00374C15" w:rsidRPr="00633BE5" w:rsidRDefault="00374C15" w:rsidP="00374C15">
      <w:pPr>
        <w:pStyle w:val="Bulleti"/>
        <w:numPr>
          <w:ilvl w:val="0"/>
          <w:numId w:val="0"/>
        </w:numPr>
        <w:tabs>
          <w:tab w:val="clear" w:pos="454"/>
          <w:tab w:val="left" w:pos="0"/>
        </w:tabs>
        <w:rPr>
          <w:rFonts w:ascii="Arial" w:hAnsi="Arial" w:cs="Arial"/>
          <w:sz w:val="24"/>
          <w:szCs w:val="24"/>
        </w:rPr>
      </w:pPr>
      <w:r w:rsidRPr="00633BE5">
        <w:rPr>
          <w:rFonts w:ascii="Arial" w:hAnsi="Arial" w:cs="Arial"/>
          <w:sz w:val="24"/>
          <w:szCs w:val="24"/>
        </w:rPr>
        <w:t xml:space="preserve">The approval of this letter of representation was </w:t>
      </w:r>
      <w:proofErr w:type="spellStart"/>
      <w:r w:rsidRPr="00633BE5">
        <w:rPr>
          <w:rFonts w:ascii="Arial" w:hAnsi="Arial" w:cs="Arial"/>
          <w:sz w:val="24"/>
          <w:szCs w:val="24"/>
        </w:rPr>
        <w:t>minuted</w:t>
      </w:r>
      <w:proofErr w:type="spellEnd"/>
      <w:r w:rsidRPr="00633BE5">
        <w:rPr>
          <w:rFonts w:ascii="Arial" w:hAnsi="Arial" w:cs="Arial"/>
          <w:sz w:val="24"/>
          <w:szCs w:val="24"/>
        </w:rPr>
        <w:t xml:space="preserve"> by the Council's Audit &amp; Governance Committee at its meeting on </w:t>
      </w:r>
      <w:r w:rsidR="0040579E" w:rsidRPr="00633BE5">
        <w:rPr>
          <w:rFonts w:ascii="Arial" w:hAnsi="Arial" w:cs="Arial"/>
          <w:b/>
          <w:sz w:val="24"/>
          <w:szCs w:val="24"/>
        </w:rPr>
        <w:t>29th</w:t>
      </w:r>
      <w:r w:rsidR="00EE7947" w:rsidRPr="00633BE5">
        <w:rPr>
          <w:rFonts w:ascii="Arial" w:hAnsi="Arial" w:cs="Arial"/>
          <w:b/>
          <w:sz w:val="24"/>
          <w:szCs w:val="24"/>
        </w:rPr>
        <w:t xml:space="preserve"> September 2014</w:t>
      </w:r>
      <w:r w:rsidRPr="00633BE5">
        <w:rPr>
          <w:rFonts w:ascii="Arial" w:hAnsi="Arial" w:cs="Arial"/>
          <w:b/>
          <w:sz w:val="24"/>
          <w:szCs w:val="24"/>
        </w:rPr>
        <w:t>.</w:t>
      </w:r>
    </w:p>
    <w:p w:rsidR="00633BE5" w:rsidRDefault="00633BE5" w:rsidP="00374C15">
      <w:pPr>
        <w:rPr>
          <w:rFonts w:cs="Arial"/>
          <w:b/>
          <w:szCs w:val="24"/>
        </w:rPr>
      </w:pPr>
    </w:p>
    <w:p w:rsidR="00374C15" w:rsidRPr="00633BE5" w:rsidRDefault="00374C15" w:rsidP="00374C15">
      <w:pPr>
        <w:rPr>
          <w:rFonts w:cs="Arial"/>
          <w:b/>
          <w:szCs w:val="24"/>
        </w:rPr>
      </w:pPr>
      <w:r w:rsidRPr="00633BE5">
        <w:rPr>
          <w:rFonts w:cs="Arial"/>
          <w:b/>
          <w:szCs w:val="24"/>
        </w:rPr>
        <w:t>Signed on behalf of the Council</w:t>
      </w:r>
      <w:r w:rsidRPr="00633BE5">
        <w:rPr>
          <w:rFonts w:cs="Arial"/>
          <w:b/>
          <w:szCs w:val="24"/>
        </w:rPr>
        <w:br/>
      </w:r>
    </w:p>
    <w:p w:rsidR="00633BE5" w:rsidRDefault="00633BE5" w:rsidP="00374C15">
      <w:pPr>
        <w:rPr>
          <w:rFonts w:cs="Arial"/>
          <w:szCs w:val="24"/>
        </w:rPr>
      </w:pPr>
    </w:p>
    <w:p w:rsidR="00A379C4" w:rsidRDefault="00A379C4" w:rsidP="00374C15">
      <w:pPr>
        <w:rPr>
          <w:rFonts w:cs="Arial"/>
          <w:szCs w:val="24"/>
        </w:rPr>
      </w:pPr>
    </w:p>
    <w:p w:rsidR="00633BE5" w:rsidRDefault="00633BE5" w:rsidP="00374C15">
      <w:pPr>
        <w:rPr>
          <w:rFonts w:cs="Arial"/>
          <w:szCs w:val="24"/>
        </w:rPr>
      </w:pPr>
    </w:p>
    <w:p w:rsidR="00633BE5" w:rsidRDefault="00633BE5" w:rsidP="00374C15">
      <w:pPr>
        <w:rPr>
          <w:rFonts w:cs="Arial"/>
          <w:szCs w:val="24"/>
        </w:rPr>
      </w:pPr>
    </w:p>
    <w:p w:rsidR="00374C15" w:rsidRPr="00A379C4" w:rsidRDefault="00633BE5" w:rsidP="00374C15">
      <w:pPr>
        <w:rPr>
          <w:rFonts w:cs="Arial"/>
          <w:b/>
          <w:szCs w:val="24"/>
        </w:rPr>
      </w:pPr>
      <w:r w:rsidRPr="00A379C4">
        <w:rPr>
          <w:rFonts w:cs="Arial"/>
          <w:b/>
          <w:szCs w:val="24"/>
        </w:rPr>
        <w:t xml:space="preserve">Gill Kilpatrick </w:t>
      </w:r>
    </w:p>
    <w:p w:rsidR="00633BE5" w:rsidRPr="00A379C4" w:rsidRDefault="00633BE5" w:rsidP="00374C15">
      <w:pPr>
        <w:rPr>
          <w:rFonts w:cs="Arial"/>
          <w:b/>
          <w:szCs w:val="24"/>
        </w:rPr>
      </w:pPr>
      <w:r w:rsidRPr="00A379C4">
        <w:rPr>
          <w:rFonts w:cs="Arial"/>
          <w:b/>
          <w:szCs w:val="24"/>
        </w:rPr>
        <w:lastRenderedPageBreak/>
        <w:t>County Treasurer</w:t>
      </w:r>
    </w:p>
    <w:p w:rsidR="0040579E" w:rsidRPr="00A379C4" w:rsidRDefault="00633BE5" w:rsidP="00374C15">
      <w:pPr>
        <w:rPr>
          <w:rFonts w:cs="Arial"/>
          <w:b/>
          <w:szCs w:val="24"/>
        </w:rPr>
      </w:pPr>
      <w:r w:rsidRPr="00A379C4">
        <w:rPr>
          <w:rFonts w:cs="Arial"/>
          <w:b/>
          <w:szCs w:val="24"/>
        </w:rPr>
        <w:t>29</w:t>
      </w:r>
      <w:r w:rsidRPr="00A379C4">
        <w:rPr>
          <w:rFonts w:cs="Arial"/>
          <w:b/>
          <w:szCs w:val="24"/>
          <w:vertAlign w:val="superscript"/>
        </w:rPr>
        <w:t>th</w:t>
      </w:r>
      <w:r w:rsidRPr="00A379C4">
        <w:rPr>
          <w:rFonts w:cs="Arial"/>
          <w:b/>
          <w:szCs w:val="24"/>
        </w:rPr>
        <w:t xml:space="preserve"> September 2014</w:t>
      </w:r>
    </w:p>
    <w:p w:rsidR="00374C15" w:rsidRDefault="00374C15" w:rsidP="00374C15">
      <w:pPr>
        <w:rPr>
          <w:rFonts w:cs="Arial"/>
          <w:b/>
          <w:szCs w:val="24"/>
        </w:rPr>
      </w:pPr>
    </w:p>
    <w:p w:rsidR="00633BE5" w:rsidRPr="00A379C4" w:rsidRDefault="00633BE5" w:rsidP="00374C15">
      <w:pPr>
        <w:rPr>
          <w:rFonts w:cs="Arial"/>
          <w:b/>
          <w:szCs w:val="24"/>
        </w:rPr>
      </w:pPr>
    </w:p>
    <w:p w:rsidR="00633BE5" w:rsidRPr="00A379C4" w:rsidRDefault="00633BE5" w:rsidP="00374C15">
      <w:pPr>
        <w:rPr>
          <w:rFonts w:cs="Arial"/>
          <w:b/>
          <w:szCs w:val="24"/>
        </w:rPr>
      </w:pPr>
    </w:p>
    <w:p w:rsidR="00633BE5" w:rsidRPr="00A379C4" w:rsidRDefault="00633BE5" w:rsidP="00374C15">
      <w:pPr>
        <w:rPr>
          <w:rFonts w:cs="Arial"/>
          <w:b/>
          <w:szCs w:val="24"/>
        </w:rPr>
      </w:pPr>
    </w:p>
    <w:p w:rsidR="00374C15" w:rsidRPr="00A379C4" w:rsidRDefault="00633BE5" w:rsidP="00374C15">
      <w:pPr>
        <w:rPr>
          <w:rFonts w:cs="Arial"/>
          <w:b/>
          <w:szCs w:val="24"/>
        </w:rPr>
      </w:pPr>
      <w:r w:rsidRPr="00A379C4">
        <w:rPr>
          <w:rFonts w:cs="Arial"/>
          <w:b/>
          <w:szCs w:val="24"/>
        </w:rPr>
        <w:t>County Councillor Terry Brown</w:t>
      </w:r>
    </w:p>
    <w:p w:rsidR="0040579E" w:rsidRPr="00A379C4" w:rsidRDefault="00AF50C0" w:rsidP="00374C15">
      <w:pPr>
        <w:rPr>
          <w:rFonts w:cs="Arial"/>
          <w:b/>
          <w:szCs w:val="24"/>
        </w:rPr>
      </w:pPr>
      <w:r>
        <w:rPr>
          <w:rFonts w:cs="Arial"/>
          <w:b/>
          <w:szCs w:val="24"/>
        </w:rPr>
        <w:t>Chair of the Audit and</w:t>
      </w:r>
      <w:r w:rsidR="00633BE5" w:rsidRPr="00A379C4">
        <w:rPr>
          <w:rFonts w:cs="Arial"/>
          <w:b/>
          <w:szCs w:val="24"/>
        </w:rPr>
        <w:t xml:space="preserve"> Governance Committee</w:t>
      </w:r>
    </w:p>
    <w:p w:rsidR="008A1FF4" w:rsidRDefault="00633BE5" w:rsidP="00374C15">
      <w:pPr>
        <w:rPr>
          <w:rFonts w:cs="Arial"/>
          <w:b/>
          <w:szCs w:val="24"/>
        </w:rPr>
      </w:pPr>
      <w:r w:rsidRPr="00A379C4">
        <w:rPr>
          <w:rFonts w:cs="Arial"/>
          <w:b/>
          <w:szCs w:val="24"/>
        </w:rPr>
        <w:t>29</w:t>
      </w:r>
      <w:r w:rsidRPr="00A379C4">
        <w:rPr>
          <w:rFonts w:cs="Arial"/>
          <w:b/>
          <w:szCs w:val="24"/>
          <w:vertAlign w:val="superscript"/>
        </w:rPr>
        <w:t>th</w:t>
      </w:r>
      <w:r w:rsidRPr="00A379C4">
        <w:rPr>
          <w:rFonts w:cs="Arial"/>
          <w:b/>
          <w:szCs w:val="24"/>
        </w:rPr>
        <w:t xml:space="preserve"> September 2014</w:t>
      </w:r>
    </w:p>
    <w:p w:rsidR="008A1FF4" w:rsidRDefault="008A1FF4">
      <w:pPr>
        <w:spacing w:after="0" w:line="240" w:lineRule="auto"/>
        <w:rPr>
          <w:rFonts w:cs="Arial"/>
          <w:b/>
          <w:szCs w:val="24"/>
        </w:rPr>
      </w:pPr>
      <w:r>
        <w:rPr>
          <w:rFonts w:cs="Arial"/>
          <w:b/>
          <w:szCs w:val="24"/>
        </w:rPr>
        <w:br w:type="page"/>
      </w:r>
    </w:p>
    <w:p w:rsidR="00633BE5" w:rsidRPr="00A379C4" w:rsidRDefault="00633BE5" w:rsidP="00374C15">
      <w:pPr>
        <w:rPr>
          <w:rFonts w:cs="Arial"/>
          <w:b/>
          <w:szCs w:val="24"/>
        </w:rPr>
      </w:pPr>
      <w:bookmarkStart w:id="1" w:name="_GoBack"/>
      <w:bookmarkEnd w:id="1"/>
    </w:p>
    <w:sectPr w:rsidR="00633BE5" w:rsidRPr="00A379C4" w:rsidSect="00A73B82">
      <w:footerReference w:type="first" r:id="rId8"/>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CCB" w:rsidRDefault="00C87CCB" w:rsidP="00613D68">
      <w:pPr>
        <w:spacing w:after="0" w:line="240" w:lineRule="auto"/>
      </w:pPr>
      <w:r>
        <w:separator/>
      </w:r>
    </w:p>
  </w:endnote>
  <w:endnote w:type="continuationSeparator" w:id="0">
    <w:p w:rsidR="00C87CCB" w:rsidRDefault="00C87CCB" w:rsidP="00613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847" w:rsidRDefault="00DD6847" w:rsidP="00DD6847">
    <w:pPr>
      <w:pStyle w:val="Footer"/>
    </w:pPr>
    <w:r>
      <w:t xml:space="preserve">County Treasurer's Department </w:t>
    </w:r>
    <w:r>
      <w:sym w:font="Wingdings 2" w:char="F097"/>
    </w:r>
    <w:r>
      <w:t xml:space="preserve"> PO Box 100, County Hall, Preston, PR1 0LD </w:t>
    </w:r>
  </w:p>
  <w:p w:rsidR="00DD6847" w:rsidRDefault="00DD6847">
    <w:pPr>
      <w:pStyle w:val="Footer"/>
    </w:pPr>
  </w:p>
  <w:p w:rsidR="00A73B82" w:rsidRDefault="00A73B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CCB" w:rsidRDefault="00C87CCB" w:rsidP="00613D68">
      <w:pPr>
        <w:spacing w:after="0" w:line="240" w:lineRule="auto"/>
      </w:pPr>
      <w:r>
        <w:separator/>
      </w:r>
    </w:p>
  </w:footnote>
  <w:footnote w:type="continuationSeparator" w:id="0">
    <w:p w:rsidR="00C87CCB" w:rsidRDefault="00C87CCB" w:rsidP="00613D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DE378D"/>
    <w:multiLevelType w:val="hybridMultilevel"/>
    <w:tmpl w:val="0AB4067A"/>
    <w:lvl w:ilvl="0" w:tplc="D070D9C4">
      <w:start w:val="1"/>
      <w:numFmt w:val="bullet"/>
      <w:pStyle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BF51EB"/>
    <w:multiLevelType w:val="hybridMultilevel"/>
    <w:tmpl w:val="2D14C21C"/>
    <w:lvl w:ilvl="0" w:tplc="7EC49772">
      <w:start w:val="1"/>
      <w:numFmt w:val="lowerRoman"/>
      <w:pStyle w:val="Bulleti"/>
      <w:lvlText w:val="%1"/>
      <w:lvlJc w:val="left"/>
      <w:pPr>
        <w:tabs>
          <w:tab w:val="num" w:pos="720"/>
        </w:tabs>
        <w:ind w:left="454" w:hanging="45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939"/>
    <w:rsid w:val="0002485E"/>
    <w:rsid w:val="000268E5"/>
    <w:rsid w:val="00097234"/>
    <w:rsid w:val="00147AF7"/>
    <w:rsid w:val="00166253"/>
    <w:rsid w:val="00196CB4"/>
    <w:rsid w:val="00196EA3"/>
    <w:rsid w:val="001B0CEB"/>
    <w:rsid w:val="00203939"/>
    <w:rsid w:val="00232BD0"/>
    <w:rsid w:val="00281A23"/>
    <w:rsid w:val="0028232C"/>
    <w:rsid w:val="002A2E05"/>
    <w:rsid w:val="0030541B"/>
    <w:rsid w:val="0033122A"/>
    <w:rsid w:val="00374C15"/>
    <w:rsid w:val="003A2C7B"/>
    <w:rsid w:val="003F299E"/>
    <w:rsid w:val="0040579E"/>
    <w:rsid w:val="004074C7"/>
    <w:rsid w:val="0044389B"/>
    <w:rsid w:val="00455ABC"/>
    <w:rsid w:val="00517BAC"/>
    <w:rsid w:val="00566D9E"/>
    <w:rsid w:val="00585175"/>
    <w:rsid w:val="00613D68"/>
    <w:rsid w:val="00633BE5"/>
    <w:rsid w:val="006A4D34"/>
    <w:rsid w:val="00720E31"/>
    <w:rsid w:val="007C276A"/>
    <w:rsid w:val="007D0750"/>
    <w:rsid w:val="007F1D34"/>
    <w:rsid w:val="00812324"/>
    <w:rsid w:val="0085775A"/>
    <w:rsid w:val="008921A0"/>
    <w:rsid w:val="008A1FF4"/>
    <w:rsid w:val="008C5DEB"/>
    <w:rsid w:val="008E34D3"/>
    <w:rsid w:val="00903C5D"/>
    <w:rsid w:val="009249E1"/>
    <w:rsid w:val="009E3552"/>
    <w:rsid w:val="009F72E8"/>
    <w:rsid w:val="00A379C4"/>
    <w:rsid w:val="00A734DA"/>
    <w:rsid w:val="00A73B82"/>
    <w:rsid w:val="00AF503E"/>
    <w:rsid w:val="00AF50C0"/>
    <w:rsid w:val="00AF605D"/>
    <w:rsid w:val="00B85483"/>
    <w:rsid w:val="00C470C5"/>
    <w:rsid w:val="00C76B8B"/>
    <w:rsid w:val="00C87CCB"/>
    <w:rsid w:val="00CD5FAC"/>
    <w:rsid w:val="00CE4A48"/>
    <w:rsid w:val="00CE6308"/>
    <w:rsid w:val="00CF7387"/>
    <w:rsid w:val="00D02C5F"/>
    <w:rsid w:val="00D053ED"/>
    <w:rsid w:val="00D35166"/>
    <w:rsid w:val="00D749AE"/>
    <w:rsid w:val="00DA2AA8"/>
    <w:rsid w:val="00DD6847"/>
    <w:rsid w:val="00DF1FF1"/>
    <w:rsid w:val="00E23F92"/>
    <w:rsid w:val="00E43C33"/>
    <w:rsid w:val="00EE7947"/>
    <w:rsid w:val="00FC2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CF69F0C6-9300-4B2A-82A9-CB053BF79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552"/>
    <w:pPr>
      <w:spacing w:after="200" w:line="276" w:lineRule="auto"/>
    </w:pPr>
    <w:rPr>
      <w:rFonts w:ascii="Arial" w:hAnsi="Arial"/>
      <w:sz w:val="24"/>
      <w:szCs w:val="22"/>
      <w:lang w:eastAsia="en-US"/>
    </w:rPr>
  </w:style>
  <w:style w:type="paragraph" w:styleId="Heading1">
    <w:name w:val="heading 1"/>
    <w:basedOn w:val="Normal"/>
    <w:next w:val="Normal"/>
    <w:link w:val="Heading1Char"/>
    <w:qFormat/>
    <w:rsid w:val="00374C15"/>
    <w:pPr>
      <w:keepNext/>
      <w:spacing w:line="260" w:lineRule="atLeast"/>
      <w:outlineLvl w:val="0"/>
    </w:pPr>
    <w:rPr>
      <w:rFonts w:ascii="Arial Black" w:eastAsiaTheme="minorHAnsi" w:hAnsi="Arial Black" w:cs="Arial"/>
      <w:bCs/>
      <w:color w:val="4F2D7F"/>
      <w:kern w:val="32"/>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54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483"/>
    <w:rPr>
      <w:rFonts w:ascii="Tahoma" w:hAnsi="Tahoma" w:cs="Tahoma"/>
      <w:sz w:val="16"/>
      <w:szCs w:val="16"/>
    </w:rPr>
  </w:style>
  <w:style w:type="paragraph" w:styleId="Header">
    <w:name w:val="header"/>
    <w:basedOn w:val="Normal"/>
    <w:link w:val="HeaderChar"/>
    <w:uiPriority w:val="99"/>
    <w:semiHidden/>
    <w:unhideWhenUsed/>
    <w:locked/>
    <w:rsid w:val="00613D6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13D68"/>
    <w:rPr>
      <w:rFonts w:ascii="Arial" w:eastAsia="Calibri" w:hAnsi="Arial" w:cs="Times New Roman"/>
      <w:sz w:val="24"/>
    </w:rPr>
  </w:style>
  <w:style w:type="paragraph" w:styleId="Footer">
    <w:name w:val="footer"/>
    <w:basedOn w:val="Normal"/>
    <w:link w:val="FooterChar"/>
    <w:uiPriority w:val="99"/>
    <w:unhideWhenUsed/>
    <w:rsid w:val="00613D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3D68"/>
    <w:rPr>
      <w:rFonts w:ascii="Arial" w:eastAsia="Calibri" w:hAnsi="Arial" w:cs="Times New Roman"/>
      <w:sz w:val="24"/>
    </w:rPr>
  </w:style>
  <w:style w:type="table" w:styleId="TableGrid">
    <w:name w:val="Table Grid"/>
    <w:basedOn w:val="TableNormal"/>
    <w:uiPriority w:val="59"/>
    <w:locked/>
    <w:rsid w:val="00D749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1">
    <w:name w:val="Body Text 1"/>
    <w:basedOn w:val="Normal"/>
    <w:qFormat/>
    <w:rsid w:val="008E34D3"/>
    <w:pPr>
      <w:spacing w:before="60" w:after="120" w:line="240" w:lineRule="auto"/>
    </w:pPr>
    <w:rPr>
      <w:rFonts w:eastAsia="Cambria"/>
      <w:color w:val="000000"/>
      <w:szCs w:val="28"/>
    </w:rPr>
  </w:style>
  <w:style w:type="paragraph" w:customStyle="1" w:styleId="Bullet">
    <w:name w:val="Bullet"/>
    <w:basedOn w:val="ListParagraph"/>
    <w:qFormat/>
    <w:rsid w:val="008E34D3"/>
    <w:pPr>
      <w:numPr>
        <w:numId w:val="1"/>
      </w:numPr>
      <w:spacing w:after="120" w:line="240" w:lineRule="auto"/>
      <w:contextualSpacing/>
    </w:pPr>
    <w:rPr>
      <w:rFonts w:eastAsia="Cambria" w:cs="Arial"/>
      <w:color w:val="000000"/>
      <w:szCs w:val="24"/>
    </w:rPr>
  </w:style>
  <w:style w:type="paragraph" w:styleId="ListParagraph">
    <w:name w:val="List Paragraph"/>
    <w:basedOn w:val="Normal"/>
    <w:uiPriority w:val="34"/>
    <w:semiHidden/>
    <w:unhideWhenUsed/>
    <w:qFormat/>
    <w:rsid w:val="008E34D3"/>
    <w:pPr>
      <w:ind w:left="720"/>
    </w:pPr>
  </w:style>
  <w:style w:type="paragraph" w:customStyle="1" w:styleId="Footnote">
    <w:name w:val="Footnote"/>
    <w:basedOn w:val="FootnoteText"/>
    <w:uiPriority w:val="1"/>
    <w:qFormat/>
    <w:rsid w:val="008E34D3"/>
    <w:pPr>
      <w:spacing w:after="0" w:line="240" w:lineRule="auto"/>
      <w:ind w:left="284" w:hanging="284"/>
    </w:pPr>
    <w:rPr>
      <w:rFonts w:eastAsia="Cambria"/>
      <w:color w:val="000000"/>
    </w:rPr>
  </w:style>
  <w:style w:type="paragraph" w:styleId="FootnoteText">
    <w:name w:val="footnote text"/>
    <w:basedOn w:val="Normal"/>
    <w:link w:val="FootnoteTextChar"/>
    <w:uiPriority w:val="99"/>
    <w:semiHidden/>
    <w:unhideWhenUsed/>
    <w:rsid w:val="008E34D3"/>
    <w:rPr>
      <w:sz w:val="20"/>
      <w:szCs w:val="20"/>
    </w:rPr>
  </w:style>
  <w:style w:type="character" w:customStyle="1" w:styleId="FootnoteTextChar">
    <w:name w:val="Footnote Text Char"/>
    <w:basedOn w:val="DefaultParagraphFont"/>
    <w:link w:val="FootnoteText"/>
    <w:uiPriority w:val="99"/>
    <w:semiHidden/>
    <w:rsid w:val="008E34D3"/>
    <w:rPr>
      <w:rFonts w:ascii="Arial" w:hAnsi="Arial"/>
      <w:lang w:eastAsia="en-US"/>
    </w:rPr>
  </w:style>
  <w:style w:type="paragraph" w:customStyle="1" w:styleId="TableDataLeft">
    <w:name w:val="Table Data Left"/>
    <w:basedOn w:val="BodyText1"/>
    <w:qFormat/>
    <w:rsid w:val="008E34D3"/>
    <w:rPr>
      <w:sz w:val="22"/>
      <w:szCs w:val="22"/>
    </w:rPr>
  </w:style>
  <w:style w:type="paragraph" w:customStyle="1" w:styleId="TableDataRight">
    <w:name w:val="Table Data Right"/>
    <w:basedOn w:val="BodyText1"/>
    <w:qFormat/>
    <w:rsid w:val="008E34D3"/>
    <w:pPr>
      <w:jc w:val="right"/>
    </w:pPr>
    <w:rPr>
      <w:sz w:val="22"/>
      <w:szCs w:val="22"/>
    </w:rPr>
  </w:style>
  <w:style w:type="paragraph" w:customStyle="1" w:styleId="TableHeadLeft">
    <w:name w:val="Table Head Left"/>
    <w:basedOn w:val="BodyText1"/>
    <w:qFormat/>
    <w:rsid w:val="008E34D3"/>
    <w:rPr>
      <w:b/>
      <w:sz w:val="22"/>
      <w:szCs w:val="22"/>
    </w:rPr>
  </w:style>
  <w:style w:type="paragraph" w:customStyle="1" w:styleId="TableHeadRight">
    <w:name w:val="Table Head Right"/>
    <w:basedOn w:val="BodyText1"/>
    <w:qFormat/>
    <w:rsid w:val="008E34D3"/>
    <w:pPr>
      <w:jc w:val="right"/>
    </w:pPr>
    <w:rPr>
      <w:b/>
      <w:sz w:val="22"/>
      <w:szCs w:val="22"/>
    </w:rPr>
  </w:style>
  <w:style w:type="paragraph" w:customStyle="1" w:styleId="TableSource">
    <w:name w:val="Table Source"/>
    <w:basedOn w:val="BodyText1"/>
    <w:qFormat/>
    <w:rsid w:val="008E34D3"/>
    <w:rPr>
      <w:i/>
      <w:sz w:val="18"/>
      <w:szCs w:val="18"/>
    </w:rPr>
  </w:style>
  <w:style w:type="paragraph" w:customStyle="1" w:styleId="TableTitle">
    <w:name w:val="Table Title"/>
    <w:basedOn w:val="BodyText1"/>
    <w:qFormat/>
    <w:rsid w:val="008E34D3"/>
    <w:rPr>
      <w:rFonts w:ascii="Corbel" w:hAnsi="Corbel"/>
      <w:b/>
      <w:sz w:val="28"/>
    </w:rPr>
  </w:style>
  <w:style w:type="character" w:customStyle="1" w:styleId="Heading1Char">
    <w:name w:val="Heading 1 Char"/>
    <w:basedOn w:val="DefaultParagraphFont"/>
    <w:link w:val="Heading1"/>
    <w:rsid w:val="00374C15"/>
    <w:rPr>
      <w:rFonts w:ascii="Arial Black" w:eastAsiaTheme="minorHAnsi" w:hAnsi="Arial Black" w:cs="Arial"/>
      <w:bCs/>
      <w:color w:val="4F2D7F"/>
      <w:kern w:val="32"/>
      <w:sz w:val="19"/>
      <w:szCs w:val="22"/>
      <w:lang w:eastAsia="en-US"/>
    </w:rPr>
  </w:style>
  <w:style w:type="paragraph" w:customStyle="1" w:styleId="Bulleti">
    <w:name w:val="Bullet i"/>
    <w:basedOn w:val="Normal"/>
    <w:link w:val="BulletiChar"/>
    <w:rsid w:val="00374C15"/>
    <w:pPr>
      <w:numPr>
        <w:numId w:val="2"/>
      </w:numPr>
      <w:tabs>
        <w:tab w:val="left" w:pos="454"/>
      </w:tabs>
    </w:pPr>
    <w:rPr>
      <w:rFonts w:ascii="Garamond" w:eastAsiaTheme="minorHAnsi" w:hAnsi="Garamond" w:cstheme="minorBidi"/>
      <w:sz w:val="22"/>
    </w:rPr>
  </w:style>
  <w:style w:type="character" w:customStyle="1" w:styleId="BulletiChar">
    <w:name w:val="Bullet i Char"/>
    <w:link w:val="Bulleti"/>
    <w:rsid w:val="00374C15"/>
    <w:rPr>
      <w:rFonts w:ascii="Garamond" w:eastAsiaTheme="minorHAnsi" w:hAnsi="Garamond"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hodkinson002\Local%20Settings\Temporary%20Internet%20Files\Content.IE5\G90FXMCK\Blank%20Letterhead%20Template%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E9A67-625B-4F46-8BC1-4FA86948B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Letterhead Template[1].dot</Template>
  <TotalTime>0</TotalTime>
  <Pages>4</Pages>
  <Words>627</Words>
  <Characters>3576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4195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ahodkinson002</dc:creator>
  <cp:keywords/>
  <dc:description/>
  <cp:lastModifiedBy>Rawcliffe, Cath</cp:lastModifiedBy>
  <cp:revision>2</cp:revision>
  <cp:lastPrinted>2014-09-18T11:49:00Z</cp:lastPrinted>
  <dcterms:created xsi:type="dcterms:W3CDTF">2014-09-18T14:37:00Z</dcterms:created>
  <dcterms:modified xsi:type="dcterms:W3CDTF">2014-09-18T14:37:00Z</dcterms:modified>
</cp:coreProperties>
</file>